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607"/>
        <w:gridCol w:w="1777"/>
        <w:gridCol w:w="2976"/>
        <w:gridCol w:w="392"/>
        <w:gridCol w:w="3152"/>
        <w:gridCol w:w="422"/>
        <w:gridCol w:w="1137"/>
        <w:gridCol w:w="4395"/>
      </w:tblGrid>
      <w:tr w:rsidR="006F4634" w:rsidRPr="006F4634" w:rsidTr="006F4634">
        <w:trPr>
          <w:cantSplit/>
          <w:trHeight w:val="810"/>
          <w:tblHeader/>
        </w:trPr>
        <w:tc>
          <w:tcPr>
            <w:tcW w:w="15495" w:type="dxa"/>
            <w:gridSpan w:val="9"/>
          </w:tcPr>
          <w:p w:rsidR="00802FA1" w:rsidRPr="006F4634" w:rsidRDefault="008449FA">
            <w:pPr>
              <w:snapToGrid w:val="0"/>
              <w:ind w:right="2"/>
              <w:jc w:val="center"/>
              <w:rPr>
                <w:sz w:val="44"/>
              </w:rPr>
            </w:pPr>
            <w:bookmarkStart w:id="0" w:name="_GoBack"/>
            <w:bookmarkEnd w:id="0"/>
            <w:r w:rsidRPr="006F4634">
              <w:rPr>
                <w:rFonts w:ascii="新細明體" w:hAnsi="新細明體" w:hint="eastAsia"/>
                <w:b/>
                <w:w w:val="110"/>
                <w:sz w:val="44"/>
              </w:rPr>
              <w:t>健行</w:t>
            </w:r>
            <w:r w:rsidR="00362684" w:rsidRPr="006F4634">
              <w:rPr>
                <w:rFonts w:ascii="新細明體" w:hAnsi="新細明體"/>
                <w:b/>
                <w:w w:val="110"/>
                <w:sz w:val="44"/>
              </w:rPr>
              <w:t>科技</w:t>
            </w:r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大學</w:t>
            </w:r>
            <w:r w:rsidR="0023179D" w:rsidRPr="006F4634">
              <w:rPr>
                <w:rFonts w:ascii="新細明體" w:hAnsi="新細明體"/>
                <w:b/>
                <w:w w:val="110"/>
                <w:sz w:val="44"/>
              </w:rPr>
              <w:t>日四</w:t>
            </w:r>
            <w:proofErr w:type="gramStart"/>
            <w:r w:rsidR="0023179D" w:rsidRPr="006F4634">
              <w:rPr>
                <w:rFonts w:ascii="新細明體" w:hAnsi="新細明體"/>
                <w:b/>
                <w:w w:val="110"/>
                <w:sz w:val="44"/>
              </w:rPr>
              <w:t>技</w:t>
            </w:r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輔系</w:t>
            </w:r>
            <w:proofErr w:type="gramEnd"/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科目學分表</w:t>
            </w:r>
            <w:r w:rsidR="00EE7BC9" w:rsidRPr="006F4634">
              <w:rPr>
                <w:sz w:val="44"/>
              </w:rPr>
              <w:t xml:space="preserve">        </w:t>
            </w:r>
            <w:r w:rsidR="00C83D37" w:rsidRPr="006F4634">
              <w:rPr>
                <w:rFonts w:hint="eastAsia"/>
                <w:sz w:val="44"/>
              </w:rPr>
              <w:t xml:space="preserve">  </w:t>
            </w:r>
            <w:r w:rsidR="0095614B" w:rsidRPr="006F4634">
              <w:rPr>
                <w:rFonts w:hint="eastAsia"/>
                <w:sz w:val="44"/>
              </w:rPr>
              <w:t xml:space="preserve">     </w:t>
            </w:r>
            <w:r w:rsidR="00C83D37" w:rsidRPr="006F4634">
              <w:rPr>
                <w:rFonts w:hint="eastAsia"/>
                <w:sz w:val="44"/>
              </w:rPr>
              <w:t xml:space="preserve">    </w:t>
            </w:r>
            <w:r w:rsidR="00802FA1" w:rsidRPr="006F4634">
              <w:rPr>
                <w:rFonts w:hAnsi="新細明體"/>
                <w:sz w:val="32"/>
              </w:rPr>
              <w:t>【</w:t>
            </w:r>
            <w:r w:rsidR="00530BE0" w:rsidRPr="006F4634">
              <w:rPr>
                <w:rFonts w:hint="eastAsia"/>
                <w:szCs w:val="24"/>
              </w:rPr>
              <w:t>10</w:t>
            </w:r>
            <w:r w:rsidR="003216F2">
              <w:rPr>
                <w:szCs w:val="24"/>
              </w:rPr>
              <w:t>9</w:t>
            </w:r>
            <w:r w:rsidR="00A71675" w:rsidRPr="006F4634">
              <w:rPr>
                <w:rFonts w:hint="eastAsia"/>
                <w:szCs w:val="24"/>
              </w:rPr>
              <w:t>學年度</w:t>
            </w:r>
            <w:r w:rsidR="005A0E76" w:rsidRPr="006F4634">
              <w:rPr>
                <w:rFonts w:hAnsi="新細明體"/>
                <w:szCs w:val="24"/>
              </w:rPr>
              <w:t>修讀</w:t>
            </w:r>
            <w:r w:rsidR="00362684" w:rsidRPr="006F4634">
              <w:rPr>
                <w:rFonts w:hAnsi="新細明體"/>
                <w:szCs w:val="24"/>
              </w:rPr>
              <w:t>學生適用</w:t>
            </w:r>
            <w:r w:rsidR="00802FA1" w:rsidRPr="006F4634">
              <w:rPr>
                <w:rFonts w:hAnsi="新細明體"/>
                <w:sz w:val="32"/>
              </w:rPr>
              <w:t>】</w:t>
            </w:r>
          </w:p>
          <w:p w:rsidR="00802FA1" w:rsidRPr="006F4634" w:rsidRDefault="00802FA1" w:rsidP="003216F2">
            <w:pPr>
              <w:wordWrap w:val="0"/>
              <w:snapToGrid w:val="0"/>
              <w:jc w:val="right"/>
              <w:rPr>
                <w:sz w:val="20"/>
              </w:rPr>
            </w:pPr>
            <w:r w:rsidRPr="006F4634">
              <w:rPr>
                <w:sz w:val="20"/>
              </w:rPr>
              <w:t xml:space="preserve">                                                                                 </w:t>
            </w:r>
            <w:r w:rsidR="00530BE0" w:rsidRPr="006F4634">
              <w:rPr>
                <w:rFonts w:hAnsi="新細明體" w:hint="eastAsia"/>
                <w:sz w:val="20"/>
              </w:rPr>
              <w:t>10</w:t>
            </w:r>
            <w:r w:rsidR="003216F2">
              <w:rPr>
                <w:rFonts w:hAnsi="新細明體"/>
                <w:sz w:val="20"/>
              </w:rPr>
              <w:t>9</w:t>
            </w:r>
            <w:r w:rsidR="001D01FE" w:rsidRPr="006F4634">
              <w:rPr>
                <w:rFonts w:hAnsi="新細明體" w:hint="eastAsia"/>
                <w:sz w:val="20"/>
              </w:rPr>
              <w:t>.</w:t>
            </w:r>
          </w:p>
        </w:tc>
      </w:tr>
      <w:tr w:rsidR="006F4634" w:rsidRPr="006F4634" w:rsidTr="006F4634">
        <w:trPr>
          <w:cantSplit/>
          <w:trHeight w:val="606"/>
          <w:tblHeader/>
        </w:trPr>
        <w:tc>
          <w:tcPr>
            <w:tcW w:w="124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ind w:right="92"/>
              <w:jc w:val="right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區分</w:t>
            </w:r>
          </w:p>
          <w:p w:rsidR="00362684" w:rsidRPr="006F4634" w:rsidRDefault="00362684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院系別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接受選讀輔系</w:t>
            </w:r>
            <w:proofErr w:type="gramStart"/>
            <w:r w:rsidRPr="006F4634">
              <w:rPr>
                <w:rFonts w:hint="eastAsia"/>
                <w:sz w:val="20"/>
              </w:rPr>
              <w:t>系</w:t>
            </w:r>
            <w:proofErr w:type="gramEnd"/>
            <w:r w:rsidRPr="006F4634">
              <w:rPr>
                <w:rFonts w:hint="eastAsia"/>
                <w:sz w:val="20"/>
              </w:rPr>
              <w:t>別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指定必修科目學分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tabs>
                <w:tab w:val="left" w:pos="2791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專業選修科目學分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完成輔系至</w:t>
            </w:r>
          </w:p>
          <w:p w:rsidR="00362684" w:rsidRPr="006F463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少應修學分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 w:rsidP="007B07C3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學生選修輔系應修科目不得包括</w:t>
            </w:r>
            <w:proofErr w:type="gramStart"/>
            <w:r w:rsidRPr="006F4634">
              <w:rPr>
                <w:rFonts w:ascii="新細明體" w:hAnsi="新細明體" w:hint="eastAsia"/>
                <w:sz w:val="20"/>
              </w:rPr>
              <w:t>其主系應</w:t>
            </w:r>
            <w:proofErr w:type="gramEnd"/>
            <w:r w:rsidRPr="006F4634">
              <w:rPr>
                <w:rFonts w:ascii="新細明體" w:hAnsi="新細明體" w:hint="eastAsia"/>
                <w:sz w:val="20"/>
              </w:rPr>
              <w:t>修習</w:t>
            </w:r>
            <w:r w:rsidR="007B07C3" w:rsidRPr="006F4634">
              <w:rPr>
                <w:rFonts w:ascii="新細明體" w:hAnsi="新細明體"/>
                <w:sz w:val="20"/>
              </w:rPr>
              <w:br/>
            </w:r>
            <w:r w:rsidRPr="006F4634">
              <w:rPr>
                <w:rFonts w:ascii="新細明體" w:hAnsi="新細明體" w:hint="eastAsia"/>
                <w:sz w:val="20"/>
              </w:rPr>
              <w:t>之相同科目在內。如遇此情況</w:t>
            </w:r>
            <w:r w:rsidR="00B931BF" w:rsidRPr="006F4634">
              <w:rPr>
                <w:rFonts w:ascii="新細明體" w:hAnsi="新細明體" w:hint="eastAsia"/>
                <w:sz w:val="20"/>
              </w:rPr>
              <w:t>的</w:t>
            </w:r>
            <w:r w:rsidRPr="006F4634">
              <w:rPr>
                <w:rFonts w:ascii="新細明體" w:hAnsi="新細明體" w:hint="eastAsia"/>
                <w:sz w:val="20"/>
              </w:rPr>
              <w:t>配套方式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子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工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6F1CA8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數位邏輯設計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計算機概論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15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724E19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9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9B2D79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7B07C3">
            <w:pPr>
              <w:snapToGrid w:val="0"/>
              <w:spacing w:line="240" w:lineRule="auto"/>
              <w:ind w:left="113" w:right="11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必須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另選經系主任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同意之其它電子系專業必修科目。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機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工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6F1CA8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電路學(二)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)(3/3)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</w:t>
            </w:r>
            <w:r w:rsidRPr="006F4634">
              <w:rPr>
                <w:rFonts w:ascii="新細明體" w:hAnsi="新細明體"/>
                <w:sz w:val="22"/>
                <w:szCs w:val="22"/>
              </w:rPr>
              <w:t>機械(</w:t>
            </w:r>
            <w:proofErr w:type="gramStart"/>
            <w:r w:rsidRPr="006F4634">
              <w:rPr>
                <w:rFonts w:ascii="新細明體" w:hAnsi="新細明體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/>
                <w:sz w:val="22"/>
                <w:szCs w:val="22"/>
              </w:rPr>
              <w:t>) (3/3)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數位系統 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計算機概論 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66"/>
              </w:tabs>
              <w:snapToGrid w:val="0"/>
              <w:spacing w:line="240" w:lineRule="auto"/>
              <w:ind w:right="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資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訊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工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</w:t>
            </w:r>
            <w:r w:rsidRPr="006F4634">
              <w:rPr>
                <w:rFonts w:ascii="新細明體" w:hAnsi="新細明體"/>
                <w:sz w:val="22"/>
                <w:szCs w:val="22"/>
              </w:rPr>
              <w:t>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資料結構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資料庫系統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電腦網路概論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電腦網路實驗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(1/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B96446" w:rsidRPr="006F4634" w:rsidRDefault="00B96446" w:rsidP="00045657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作業系統概論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66"/>
              </w:tabs>
              <w:snapToGrid w:val="0"/>
              <w:spacing w:line="240" w:lineRule="auto"/>
              <w:ind w:right="3"/>
              <w:rPr>
                <w:w w:val="90"/>
                <w:sz w:val="22"/>
                <w:szCs w:val="22"/>
              </w:rPr>
            </w:pPr>
            <w:r w:rsidRPr="006F4634">
              <w:rPr>
                <w:rFonts w:hint="eastAsia"/>
                <w:w w:val="90"/>
                <w:sz w:val="22"/>
                <w:szCs w:val="22"/>
              </w:rPr>
              <w:t>選修課為本系大二以上開設的課程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ind w:left="113" w:right="113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416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lastRenderedPageBreak/>
              <w:t>工</w:t>
            </w:r>
            <w:r w:rsidRPr="006F4634">
              <w:rPr>
                <w:sz w:val="22"/>
                <w:szCs w:val="22"/>
              </w:rPr>
              <w:br/>
            </w: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應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用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空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間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資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訊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程式設計與應用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032FB5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空間資訊概論 (</w:t>
            </w:r>
            <w:r w:rsidR="00544221"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電腦輔助繪圖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全球導航衛星系統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032FB5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地理資訊系統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10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應用空間資訊系所開設之專業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必修或選修課程。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14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094"/>
              <w:gridCol w:w="2125"/>
            </w:tblGrid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shd w:val="clear" w:color="auto" w:fill="D9D9D9" w:themeFill="background1" w:themeFillShade="D9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125" w:type="dxa"/>
                  <w:shd w:val="clear" w:color="auto" w:fill="D9D9D9" w:themeFill="background1" w:themeFillShade="D9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noWrap/>
                  <w:vAlign w:val="center"/>
                </w:tcPr>
                <w:p w:rsidR="00544221" w:rsidRPr="006F4634" w:rsidRDefault="00544221" w:rsidP="002061C9">
                  <w:pPr>
                    <w:spacing w:line="300" w:lineRule="atLeast"/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程式設計與應用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2/3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spacing w:line="300" w:lineRule="atLeast"/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計算機程式設計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(2/3)</w:t>
                  </w:r>
                </w:p>
              </w:tc>
            </w:tr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pacing w:val="-1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空間資訊概論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測量學(</w:t>
                  </w:r>
                  <w:proofErr w:type="gramStart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)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 xml:space="preserve"> 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4C490F">
              <w:trPr>
                <w:trHeight w:hRule="exact" w:val="721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電腦輔助繪圖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(2/3)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w w:val="75"/>
                      <w:sz w:val="22"/>
                      <w:szCs w:val="22"/>
                    </w:rPr>
                    <w:t>工程繪圖軟體應用（2/3）</w:t>
                  </w:r>
                </w:p>
              </w:tc>
            </w:tr>
            <w:tr w:rsidR="006F4634" w:rsidRPr="006F4634" w:rsidTr="004C490F">
              <w:trPr>
                <w:trHeight w:hRule="exact" w:val="816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pacing w:val="-1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w w:val="75"/>
                      <w:sz w:val="22"/>
                      <w:szCs w:val="22"/>
                    </w:rPr>
                    <w:t>全球導航衛星系統（2/3）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proofErr w:type="gramStart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測量平差</w:t>
                  </w:r>
                  <w:proofErr w:type="gramEnd"/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(2/3)</w:t>
                  </w:r>
                </w:p>
              </w:tc>
            </w:tr>
            <w:tr w:rsidR="006F4634" w:rsidRPr="006F4634" w:rsidTr="004C490F">
              <w:trPr>
                <w:trHeight w:hRule="exact" w:val="685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pacing w:val="-12"/>
                      <w:w w:val="8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地理資訊系統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(2/3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遙感探測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(3/3)</w:t>
                  </w:r>
                </w:p>
              </w:tc>
            </w:tr>
          </w:tbl>
          <w:p w:rsidR="00544221" w:rsidRPr="006F4634" w:rsidRDefault="00544221" w:rsidP="00544221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967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機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spacing w:val="15"/>
                <w:sz w:val="22"/>
                <w:szCs w:val="22"/>
              </w:rPr>
              <w:t>械</w:t>
            </w:r>
            <w:proofErr w:type="gramEnd"/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材料力學(2/2)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動力元件設計(2/2)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電機學(2/2)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自動控制(2/2)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工程材料與實務應用(2/2)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機械動力與製造(2/2) 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電腦輔助繪圖(2/3)</w:t>
            </w:r>
          </w:p>
          <w:p w:rsidR="0054422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電腦輔助立體繪圖(2/3)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pacing w:line="32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機械工程系所開設之專業選修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E1" w:rsidRPr="006F4634" w:rsidRDefault="001371E1" w:rsidP="001371E1">
            <w:pPr>
              <w:pStyle w:val="ab"/>
              <w:numPr>
                <w:ilvl w:val="0"/>
                <w:numId w:val="6"/>
              </w:numPr>
              <w:spacing w:line="300" w:lineRule="atLeast"/>
              <w:ind w:leftChars="0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機械工程系輔系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資格。</w:t>
            </w:r>
          </w:p>
          <w:p w:rsidR="00544221" w:rsidRPr="006F4634" w:rsidRDefault="001371E1" w:rsidP="001371E1">
            <w:pPr>
              <w:pStyle w:val="ab"/>
              <w:numPr>
                <w:ilvl w:val="0"/>
                <w:numId w:val="6"/>
              </w:numPr>
              <w:spacing w:line="300" w:lineRule="atLeast"/>
              <w:ind w:leftChars="0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專業必修或專業選修者，不必再修，但不能抵免，得依前述列表修習其他指定課程。</w:t>
            </w:r>
          </w:p>
        </w:tc>
      </w:tr>
      <w:tr w:rsidR="006F4634" w:rsidRPr="006F4634" w:rsidTr="006F4634">
        <w:trPr>
          <w:cantSplit/>
          <w:trHeight w:val="3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lastRenderedPageBreak/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材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料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製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造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科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技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位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材料科學工程(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/>
                <w:sz w:val="22"/>
                <w:szCs w:val="22"/>
              </w:rPr>
              <w:t>3/3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材料科學工程(二)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 xml:space="preserve"> (3/3)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物理冶金</w:t>
            </w:r>
            <w:r w:rsidR="00E662F0"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  <w:p w:rsidR="00544221" w:rsidRPr="006F4634" w:rsidRDefault="00544221" w:rsidP="00E662F0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熱處理與實務應用</w:t>
            </w:r>
            <w:r w:rsidR="00E662F0"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材料製造科技學位</w:t>
            </w:r>
            <w:proofErr w:type="gramStart"/>
            <w:r w:rsidRPr="006F4634">
              <w:rPr>
                <w:spacing w:val="15"/>
                <w:sz w:val="22"/>
                <w:szCs w:val="22"/>
              </w:rPr>
              <w:t>學程</w:t>
            </w:r>
            <w:r w:rsidRPr="006F4634">
              <w:rPr>
                <w:rFonts w:hint="eastAsia"/>
                <w:spacing w:val="15"/>
                <w:sz w:val="22"/>
                <w:szCs w:val="22"/>
              </w:rPr>
              <w:t>所開設</w:t>
            </w:r>
            <w:proofErr w:type="gramEnd"/>
            <w:r w:rsidRPr="006F4634">
              <w:rPr>
                <w:rFonts w:hint="eastAsia"/>
                <w:spacing w:val="15"/>
                <w:sz w:val="22"/>
                <w:szCs w:val="22"/>
              </w:rPr>
              <w:t>之專業選修課程。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331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土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木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A1508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民生工程概論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平面測量學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靜力學 (3/3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土木材料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結構學(1)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鋼筋混凝土(1)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非破壞性檢測概論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土木施工學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營建管理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材料力學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rFonts w:ascii="新細明體" w:hAnsi="新細明體"/>
                <w:spacing w:val="-14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pacing w:val="-14"/>
                <w:sz w:val="22"/>
                <w:szCs w:val="22"/>
              </w:rPr>
              <w:t>土木工程系所開設之專業選修課程。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指定必修與選修合計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學分以上，即可取得</w:t>
            </w:r>
          </w:p>
          <w:p w:rsidR="00544221" w:rsidRPr="006F4634" w:rsidRDefault="00544221" w:rsidP="00544221">
            <w:pPr>
              <w:rPr>
                <w:sz w:val="22"/>
                <w:szCs w:val="22"/>
              </w:rPr>
            </w:pPr>
            <w:proofErr w:type="gramStart"/>
            <w:r w:rsidRPr="006F4634">
              <w:rPr>
                <w:rFonts w:hint="eastAsia"/>
                <w:sz w:val="22"/>
                <w:szCs w:val="22"/>
              </w:rPr>
              <w:t>土木工程系輔系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資格。</w:t>
            </w:r>
          </w:p>
        </w:tc>
      </w:tr>
      <w:tr w:rsidR="006F4634" w:rsidRPr="006F4634" w:rsidTr="006F4634">
        <w:trPr>
          <w:cantSplit/>
          <w:trHeight w:val="35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與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流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通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電子商務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數位行銷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零售管理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消費者行為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推廣策略 (4/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物流管理 (3/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社群媒體行銷 (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顧客關係管理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際物流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企業資源規劃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行銷數據分析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  <w:p w:rsidR="00390FC6" w:rsidRPr="006F4634" w:rsidRDefault="00477F36" w:rsidP="00477F36">
            <w:pPr>
              <w:spacing w:line="30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：11</w:t>
            </w:r>
            <w:r w:rsidRPr="006F4634">
              <w:rPr>
                <w:rFonts w:ascii="新細明體" w:hAnsi="新細明體"/>
                <w:sz w:val="22"/>
                <w:szCs w:val="22"/>
              </w:rPr>
              <w:t>門課程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至少</w:t>
            </w:r>
            <w:r w:rsidRPr="006F4634">
              <w:rPr>
                <w:rFonts w:ascii="新細明體" w:hAnsi="新細明體"/>
                <w:sz w:val="22"/>
                <w:szCs w:val="22"/>
              </w:rPr>
              <w:t>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門</w:t>
            </w:r>
            <w:r w:rsidR="00DE2777"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477F36" w:rsidP="00544221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行銷與流通管理系所開設之</w:t>
            </w:r>
            <w:r w:rsidRPr="006F4634">
              <w:rPr>
                <w:rFonts w:hint="eastAsia"/>
                <w:sz w:val="22"/>
                <w:szCs w:val="22"/>
              </w:rPr>
              <w:t>專業</w:t>
            </w:r>
            <w:r w:rsidRPr="006F4634">
              <w:rPr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學分，方可取得行銷與流通管理系輔系資格。</w:t>
            </w:r>
          </w:p>
          <w:p w:rsidR="00390FC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輔系科目若為其原系之專業必修或專業選修者，不必再修，但不能抵免，得由系主任指定本系相關課程代替。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52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與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流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通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視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覺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傳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達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組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電腦繪圖(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數位行銷(2/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基礎攝影（2/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推廣策略 (4/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視覺設計與傳達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商業攝影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影音直效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行銷(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數位剪輯(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社群媒體行銷 (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設計概論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包裝設計(2/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  <w:p w:rsidR="00390FC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：1</w:t>
            </w:r>
            <w:r w:rsidRPr="006F4634">
              <w:rPr>
                <w:rFonts w:ascii="新細明體" w:hAnsi="新細明體"/>
                <w:sz w:val="22"/>
                <w:szCs w:val="22"/>
              </w:rPr>
              <w:t>1門課程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至少</w:t>
            </w:r>
            <w:r w:rsidRPr="006F4634">
              <w:rPr>
                <w:rFonts w:ascii="新細明體" w:hAnsi="新細明體"/>
                <w:sz w:val="22"/>
                <w:szCs w:val="22"/>
              </w:rPr>
              <w:t>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門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477F36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行銷與流通管理系視覺傳達行銷組所開設之專業課程。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學分，方可取得行銷與流通管理系輔系資格。</w:t>
            </w:r>
          </w:p>
          <w:p w:rsidR="00390FC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rFonts w:ascii="新細明體" w:hAnsi="新細明體"/>
                <w:sz w:val="21"/>
                <w:szCs w:val="21"/>
              </w:rPr>
            </w:pPr>
            <w:r w:rsidRPr="006F4634">
              <w:rPr>
                <w:rFonts w:hint="eastAsia"/>
                <w:sz w:val="22"/>
                <w:szCs w:val="22"/>
              </w:rPr>
              <w:t>2.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輔系科目若為其原系之專業必修或專業選修者，不必再修，但不能抵免，得由系主任指定本系相關課程代替。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536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工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人因工程</w:t>
            </w:r>
            <w:r w:rsidRPr="006F4634">
              <w:rPr>
                <w:rFonts w:hint="eastAsia"/>
                <w:sz w:val="22"/>
                <w:szCs w:val="22"/>
              </w:rPr>
              <w:t xml:space="preserve"> (3/3)</w:t>
            </w:r>
          </w:p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作業管理</w:t>
            </w:r>
            <w:r w:rsidRPr="006F4634">
              <w:rPr>
                <w:rFonts w:hint="eastAsia"/>
                <w:sz w:val="22"/>
                <w:szCs w:val="22"/>
              </w:rPr>
              <w:t xml:space="preserve"> (3/3)</w:t>
            </w:r>
          </w:p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品質管理</w:t>
            </w:r>
            <w:r w:rsidRPr="006F4634">
              <w:rPr>
                <w:rFonts w:hint="eastAsia"/>
                <w:sz w:val="22"/>
                <w:szCs w:val="22"/>
              </w:rPr>
              <w:t xml:space="preserve"> (4/4)</w:t>
            </w:r>
          </w:p>
          <w:p w:rsidR="0092050C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企業資源規劃</w:t>
            </w:r>
            <w:r w:rsidRPr="006F4634">
              <w:rPr>
                <w:rFonts w:hint="eastAsia"/>
                <w:sz w:val="22"/>
                <w:szCs w:val="22"/>
              </w:rPr>
              <w:t xml:space="preserve"> (4/4)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B96446" w:rsidRPr="006F4634">
              <w:rPr>
                <w:sz w:val="22"/>
                <w:szCs w:val="22"/>
              </w:rPr>
              <w:t>4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工業管理系所開設之必、選修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B9644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10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ind w:left="113" w:right="113"/>
              <w:rPr>
                <w:rFonts w:ascii="新細明體" w:hAnsi="新細明體"/>
                <w:sz w:val="21"/>
                <w:szCs w:val="21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0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資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訊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50" w:rsidRPr="006F4634" w:rsidRDefault="00815450" w:rsidP="00815450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管理資訊系統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(3/3)</w:t>
            </w:r>
          </w:p>
          <w:p w:rsidR="0092050C" w:rsidRPr="006F4634" w:rsidRDefault="00815450" w:rsidP="00815450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網頁編輯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(3/3)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資訊管理系與資訊管理系多媒體組所開設之必、選修學分。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394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企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生產與作業管理實務 (3/3)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行銷管理與實作 (4/4)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人力資源管理實務 (3/3)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策略管理實務 (3/3)</w:t>
            </w:r>
          </w:p>
          <w:p w:rsidR="0092050C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財務管理實務 (3/3)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6F4634" w:rsidRPr="006F4634">
              <w:rPr>
                <w:sz w:val="22"/>
                <w:szCs w:val="22"/>
              </w:rPr>
              <w:t>6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企業管理系所開設之選修課程。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6F4634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8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409"/>
            </w:tblGrid>
            <w:tr w:rsidR="006F4634" w:rsidRPr="006F4634" w:rsidTr="006F4634">
              <w:tc>
                <w:tcPr>
                  <w:tcW w:w="1810" w:type="dxa"/>
                  <w:shd w:val="clear" w:color="auto" w:fill="D9D9D9" w:themeFill="background1" w:themeFillShade="D9"/>
                  <w:vAlign w:val="center"/>
                </w:tcPr>
                <w:p w:rsidR="0092050C" w:rsidRPr="006F4634" w:rsidRDefault="0092050C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92050C" w:rsidRPr="006F4634" w:rsidRDefault="0092050C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6F4634">
              <w:trPr>
                <w:trHeight w:val="778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生產與作業管理實務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92050C" w:rsidRPr="006F4634" w:rsidRDefault="0092050C" w:rsidP="006F4634">
                  <w:pPr>
                    <w:snapToGrid w:val="0"/>
                    <w:spacing w:line="240" w:lineRule="exact"/>
                    <w:ind w:left="110" w:hangingChars="50" w:hanging="110"/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企業資源規劃實務(3/3)</w:t>
                  </w:r>
                </w:p>
              </w:tc>
            </w:tr>
            <w:tr w:rsidR="006F4634" w:rsidRPr="006F4634" w:rsidTr="006F4634">
              <w:tc>
                <w:tcPr>
                  <w:tcW w:w="1810" w:type="dxa"/>
                  <w:vAlign w:val="center"/>
                </w:tcPr>
                <w:p w:rsidR="006F4634" w:rsidRPr="006F4634" w:rsidRDefault="006F4634" w:rsidP="006F4634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行銷管理與實作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634" w:rsidRPr="006F4634" w:rsidRDefault="006F4634" w:rsidP="006F4634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1.消費者行為實務 3/3)</w:t>
                  </w:r>
                </w:p>
                <w:p w:rsidR="006F4634" w:rsidRPr="006F4634" w:rsidRDefault="006F4634" w:rsidP="006F4634">
                  <w:pPr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2.市場調查實務 (3/3)</w:t>
                  </w:r>
                </w:p>
              </w:tc>
            </w:tr>
            <w:tr w:rsidR="006F4634" w:rsidRPr="006F4634" w:rsidTr="006F4634">
              <w:trPr>
                <w:trHeight w:val="751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人力資源管理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br/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1.組織行為 (3/3)</w:t>
                  </w:r>
                </w:p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2.勞資關係與勞動法規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br/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實務 (3/3)</w:t>
                  </w:r>
                </w:p>
              </w:tc>
            </w:tr>
            <w:tr w:rsidR="006F4634" w:rsidRPr="006F4634" w:rsidTr="006F4634">
              <w:trPr>
                <w:trHeight w:val="541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策略管理實務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</w:t>
                  </w:r>
                  <w:r w:rsidR="006F4634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創新與創業實作 (4/4)</w:t>
                  </w:r>
                </w:p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2.新興市場政策 (3/3)</w:t>
                  </w:r>
                </w:p>
              </w:tc>
            </w:tr>
            <w:tr w:rsidR="006F4634" w:rsidRPr="006F4634" w:rsidTr="006F4634">
              <w:trPr>
                <w:trHeight w:val="513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財務管理實務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1.理財規劃實務 (3/3)</w:t>
                  </w:r>
                </w:p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2.投資實務 (3/3)</w:t>
                  </w:r>
                </w:p>
              </w:tc>
            </w:tr>
          </w:tbl>
          <w:p w:rsidR="0092050C" w:rsidRPr="006F4634" w:rsidRDefault="0092050C" w:rsidP="00390FC6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865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務</w:t>
            </w:r>
            <w:proofErr w:type="gramEnd"/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金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融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財務管理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（一）(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財務管理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（二）(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投資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（一）(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投資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（二）(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4634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t>期貨與選擇權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國際金融與匯兌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財務金融系所開設之選修課程。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Pr="006F4634">
              <w:rPr>
                <w:sz w:val="22"/>
                <w:szCs w:val="22"/>
              </w:rPr>
              <w:t>2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2"/>
              <w:gridCol w:w="2162"/>
            </w:tblGrid>
            <w:tr w:rsidR="006F4634" w:rsidRPr="006F4634" w:rsidTr="008F102D">
              <w:tc>
                <w:tcPr>
                  <w:tcW w:w="2162" w:type="dxa"/>
                  <w:shd w:val="clear" w:color="auto" w:fill="D9D9D9" w:themeFill="background1" w:themeFillShade="D9"/>
                </w:tcPr>
                <w:p w:rsidR="00390FC6" w:rsidRPr="006F4634" w:rsidRDefault="00390FC6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162" w:type="dxa"/>
                  <w:shd w:val="clear" w:color="auto" w:fill="D9D9D9" w:themeFill="background1" w:themeFillShade="D9"/>
                </w:tcPr>
                <w:p w:rsidR="00390FC6" w:rsidRPr="006F4634" w:rsidRDefault="00390FC6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財務管理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實務(</w:t>
                  </w:r>
                  <w:proofErr w:type="gramStart"/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一</w:t>
                  </w:r>
                  <w:proofErr w:type="gramEnd"/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)(2/2)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財富管理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(3/3)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0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財務管理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實務(</w:t>
                  </w: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二)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所得稅實務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(3/3)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投資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（一）(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投資基本分析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投資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（二）(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基金管理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 xml:space="preserve"> 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w w:val="69"/>
                      <w:sz w:val="22"/>
                      <w:szCs w:val="22"/>
                    </w:rPr>
                  </w:pPr>
                  <w:r w:rsidRPr="006F4634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期貨與選擇權</w:t>
                  </w:r>
                  <w:r w:rsidRPr="006F4634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衍生性金融商品(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國際金融與匯兌(2/2)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國際財務管理(2/2)</w:t>
                  </w:r>
                </w:p>
              </w:tc>
            </w:tr>
          </w:tbl>
          <w:p w:rsidR="00390FC6" w:rsidRPr="006F4634" w:rsidRDefault="00390FC6" w:rsidP="00390FC6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1893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民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生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創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意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餐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旅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客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管理實務 (3/3)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餐旅產業概論 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餐旅安全與衛生管理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(2/2)</w:t>
            </w:r>
          </w:p>
          <w:p w:rsidR="00DA20BF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房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管理實務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(4/4)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1371E1" w:rsidRPr="006F4634">
              <w:rPr>
                <w:sz w:val="22"/>
                <w:szCs w:val="22"/>
              </w:rPr>
              <w:t>1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1371E1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餐旅管理系開設之</w:t>
            </w:r>
            <w:r w:rsidR="001371E1" w:rsidRPr="006F4634">
              <w:rPr>
                <w:rFonts w:hint="eastAsia"/>
                <w:sz w:val="22"/>
                <w:szCs w:val="22"/>
              </w:rPr>
              <w:t>選</w:t>
            </w:r>
            <w:r w:rsidR="001371E1" w:rsidRPr="006F4634">
              <w:rPr>
                <w:sz w:val="22"/>
                <w:szCs w:val="22"/>
              </w:rPr>
              <w:t>修</w:t>
            </w:r>
            <w:r w:rsidRPr="006F4634">
              <w:rPr>
                <w:rFonts w:hint="eastAsia"/>
                <w:sz w:val="22"/>
                <w:szCs w:val="22"/>
              </w:rPr>
              <w:t>課程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1371E1" w:rsidRPr="006F4634">
              <w:rPr>
                <w:sz w:val="22"/>
                <w:szCs w:val="22"/>
              </w:rPr>
              <w:t>3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177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國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際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企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經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營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pacing w:line="30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無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0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航空專業英文(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航空專業英文(二)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航空氣象原理與實務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飛航管制實務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航空簽派實務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飛航環境概論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基礎航空器概論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航空氣象服務(2/2)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導航原理與實務(2/2)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航空法規與手冊(2/2)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飛航計畫實務(2/2)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航空安全與危險品管理(2/2)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航空事故與人為因素(2/2)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修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spacing w:line="240" w:lineRule="exact"/>
              <w:jc w:val="both"/>
              <w:rPr>
                <w:sz w:val="20"/>
              </w:rPr>
            </w:pPr>
            <w:r w:rsidRPr="006F4634">
              <w:rPr>
                <w:sz w:val="22"/>
                <w:szCs w:val="22"/>
              </w:rPr>
              <w:br/>
            </w:r>
          </w:p>
        </w:tc>
      </w:tr>
      <w:tr w:rsidR="006F4634" w:rsidRPr="006F4634" w:rsidTr="006F4634">
        <w:trPr>
          <w:cantSplit/>
          <w:trHeight w:val="2177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民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生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創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意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物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經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營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與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物業管理概論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</w:t>
            </w:r>
            <w:r w:rsidRPr="006F4634">
              <w:rPr>
                <w:rFonts w:ascii="新細明體" w:hAnsi="新細明體"/>
                <w:sz w:val="22"/>
                <w:szCs w:val="22"/>
              </w:rPr>
              <w:t>業設備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概論 (2/2)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圖</w:t>
            </w:r>
            <w:r w:rsidRPr="006F4634">
              <w:rPr>
                <w:rFonts w:ascii="新細明體" w:hAnsi="新細明體"/>
                <w:sz w:val="22"/>
                <w:szCs w:val="22"/>
              </w:rPr>
              <w:t>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/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設</w:t>
            </w:r>
            <w:r w:rsidRPr="006F4634">
              <w:rPr>
                <w:rFonts w:ascii="新細明體" w:hAnsi="新細明體"/>
                <w:sz w:val="22"/>
                <w:szCs w:val="22"/>
              </w:rPr>
              <w:t>計素描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11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本系所開設專業選修課程。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13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602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應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用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外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語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proofErr w:type="gramStart"/>
            <w:r w:rsidRPr="006F4634">
              <w:rPr>
                <w:rFonts w:ascii="新細明體" w:hAnsi="新細明體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/>
                <w:sz w:val="22"/>
                <w:szCs w:val="22"/>
              </w:rPr>
              <w:t>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6F4634">
              <w:rPr>
                <w:rFonts w:ascii="新細明體" w:hAnsi="新細明體"/>
                <w:sz w:val="22"/>
                <w:szCs w:val="22"/>
              </w:rPr>
              <w:t>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英語聽講訓練(二)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6F4634">
              <w:rPr>
                <w:rFonts w:ascii="新細明體" w:hAnsi="新細明體"/>
                <w:sz w:val="22"/>
                <w:szCs w:val="22"/>
              </w:rPr>
              <w:t>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三</w:t>
            </w:r>
            <w:r w:rsidRPr="006F4634">
              <w:rPr>
                <w:rFonts w:ascii="新細明體" w:hAnsi="新細明體"/>
                <w:sz w:val="22"/>
                <w:szCs w:val="22"/>
              </w:rPr>
              <w:t>) 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四</w:t>
            </w:r>
            <w:r w:rsidRPr="006F4634">
              <w:rPr>
                <w:rFonts w:ascii="新細明體" w:hAnsi="新細明體"/>
                <w:sz w:val="22"/>
                <w:szCs w:val="22"/>
              </w:rPr>
              <w:t>) 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英文文法與句型 </w:t>
            </w:r>
            <w:r w:rsidRPr="006F4634">
              <w:rPr>
                <w:rFonts w:ascii="新細明體" w:hAnsi="新細明體"/>
                <w:sz w:val="22"/>
                <w:szCs w:val="22"/>
              </w:rPr>
              <w:t>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英文基礎翻譯習作 </w:t>
            </w:r>
            <w:r w:rsidRPr="006F4634">
              <w:rPr>
                <w:rFonts w:ascii="新細明體" w:hAnsi="新細明體"/>
                <w:sz w:val="22"/>
                <w:szCs w:val="22"/>
              </w:rPr>
              <w:t>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應外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系所開設之選修課程。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72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位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多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媒</w:t>
            </w:r>
            <w:proofErr w:type="gramEnd"/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體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設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40" w:lineRule="exac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無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0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數位多媒體設計系所開設之專業課程。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840"/>
        </w:trPr>
        <w:tc>
          <w:tcPr>
            <w:tcW w:w="637" w:type="dxa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附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6F4634">
              <w:rPr>
                <w:rFonts w:hint="eastAsia"/>
                <w:sz w:val="20"/>
              </w:rPr>
              <w:t>註</w:t>
            </w:r>
            <w:proofErr w:type="gramEnd"/>
          </w:p>
        </w:tc>
        <w:tc>
          <w:tcPr>
            <w:tcW w:w="14858" w:type="dxa"/>
            <w:gridSpan w:val="8"/>
            <w:vAlign w:val="center"/>
          </w:tcPr>
          <w:p w:rsidR="0092050C" w:rsidRPr="006F4634" w:rsidRDefault="0092050C" w:rsidP="0092050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92050C" w:rsidRPr="006F4634" w:rsidRDefault="0092050C" w:rsidP="0092050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二、「指定必修科目學分」與「專業選修科目學分」，合計已達「完成輔系至少應修學分」者，始予承認輔系資格。</w:t>
            </w:r>
          </w:p>
          <w:p w:rsidR="0092050C" w:rsidRPr="006F4634" w:rsidRDefault="0092050C" w:rsidP="0092050C">
            <w:pPr>
              <w:spacing w:line="240" w:lineRule="atLeast"/>
            </w:pPr>
            <w:r w:rsidRPr="006F4634">
              <w:rPr>
                <w:rFonts w:ascii="新細明體" w:hAnsi="新細明體" w:hint="eastAsia"/>
                <w:sz w:val="20"/>
              </w:rPr>
              <w:t>三、本表未盡詳細事宜，</w:t>
            </w:r>
            <w:r w:rsidRPr="006F4634">
              <w:rPr>
                <w:rFonts w:hint="eastAsia"/>
                <w:sz w:val="20"/>
              </w:rPr>
              <w:t>依各系規定辦理。</w:t>
            </w:r>
          </w:p>
        </w:tc>
      </w:tr>
    </w:tbl>
    <w:p w:rsidR="00802FA1" w:rsidRPr="006F4634" w:rsidRDefault="00802FA1" w:rsidP="008C78CA">
      <w:pPr>
        <w:snapToGrid w:val="0"/>
        <w:spacing w:line="240" w:lineRule="exact"/>
        <w:jc w:val="both"/>
        <w:rPr>
          <w:sz w:val="2"/>
          <w:szCs w:val="2"/>
        </w:rPr>
      </w:pPr>
    </w:p>
    <w:sectPr w:rsidR="00802FA1" w:rsidRPr="006F4634" w:rsidSect="00AC1E54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9F" w:rsidRDefault="0054719F">
      <w:r>
        <w:separator/>
      </w:r>
    </w:p>
  </w:endnote>
  <w:endnote w:type="continuationSeparator" w:id="0">
    <w:p w:rsidR="0054719F" w:rsidRDefault="005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BF" w:rsidRDefault="00DA20BF" w:rsidP="006E058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BF" w:rsidRDefault="00DA20B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BF" w:rsidRDefault="00DA20BF" w:rsidP="00C55F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E9C">
      <w:rPr>
        <w:rStyle w:val="a5"/>
        <w:noProof/>
      </w:rPr>
      <w:t>7</w:t>
    </w:r>
    <w:r>
      <w:rPr>
        <w:rStyle w:val="a5"/>
      </w:rPr>
      <w:fldChar w:fldCharType="end"/>
    </w:r>
  </w:p>
  <w:p w:rsidR="00DA20BF" w:rsidRDefault="00DA20BF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DA20BF" w:rsidRDefault="00DA20BF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9F" w:rsidRDefault="0054719F">
      <w:r>
        <w:separator/>
      </w:r>
    </w:p>
  </w:footnote>
  <w:footnote w:type="continuationSeparator" w:id="0">
    <w:p w:rsidR="0054719F" w:rsidRDefault="0054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BF" w:rsidRDefault="00DA20BF">
    <w:pPr>
      <w:pStyle w:val="a4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2380"/>
    <w:multiLevelType w:val="hybridMultilevel"/>
    <w:tmpl w:val="BA70FF80"/>
    <w:lvl w:ilvl="0" w:tplc="765C3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735E"/>
    <w:multiLevelType w:val="hybridMultilevel"/>
    <w:tmpl w:val="6F0ED5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63C081A"/>
    <w:multiLevelType w:val="hybridMultilevel"/>
    <w:tmpl w:val="F46A38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84"/>
    <w:rsid w:val="00011E3F"/>
    <w:rsid w:val="000266EB"/>
    <w:rsid w:val="000270DB"/>
    <w:rsid w:val="00027C6C"/>
    <w:rsid w:val="0003227B"/>
    <w:rsid w:val="00032FB5"/>
    <w:rsid w:val="00036DDF"/>
    <w:rsid w:val="000370B9"/>
    <w:rsid w:val="00043AA3"/>
    <w:rsid w:val="00045657"/>
    <w:rsid w:val="00054075"/>
    <w:rsid w:val="000549A4"/>
    <w:rsid w:val="00054F99"/>
    <w:rsid w:val="00060739"/>
    <w:rsid w:val="00060B3C"/>
    <w:rsid w:val="0006301B"/>
    <w:rsid w:val="00064823"/>
    <w:rsid w:val="00076F80"/>
    <w:rsid w:val="00082953"/>
    <w:rsid w:val="00082BD6"/>
    <w:rsid w:val="000902AA"/>
    <w:rsid w:val="00090318"/>
    <w:rsid w:val="00090F7E"/>
    <w:rsid w:val="000A4F88"/>
    <w:rsid w:val="000A768C"/>
    <w:rsid w:val="000B0265"/>
    <w:rsid w:val="000B0A6B"/>
    <w:rsid w:val="000B3968"/>
    <w:rsid w:val="000D7CEE"/>
    <w:rsid w:val="000D7E1E"/>
    <w:rsid w:val="000E61DF"/>
    <w:rsid w:val="000F337C"/>
    <w:rsid w:val="00100A62"/>
    <w:rsid w:val="00106F1A"/>
    <w:rsid w:val="00121DB1"/>
    <w:rsid w:val="001264F9"/>
    <w:rsid w:val="00134E8A"/>
    <w:rsid w:val="001371E1"/>
    <w:rsid w:val="001465D6"/>
    <w:rsid w:val="00146C75"/>
    <w:rsid w:val="00147948"/>
    <w:rsid w:val="001504A9"/>
    <w:rsid w:val="001546B4"/>
    <w:rsid w:val="0016612D"/>
    <w:rsid w:val="00171F74"/>
    <w:rsid w:val="001722CF"/>
    <w:rsid w:val="001733BA"/>
    <w:rsid w:val="00192F33"/>
    <w:rsid w:val="001943E6"/>
    <w:rsid w:val="001A0247"/>
    <w:rsid w:val="001A5659"/>
    <w:rsid w:val="001A6187"/>
    <w:rsid w:val="001B2F53"/>
    <w:rsid w:val="001C08DF"/>
    <w:rsid w:val="001C33BE"/>
    <w:rsid w:val="001C349E"/>
    <w:rsid w:val="001D01FE"/>
    <w:rsid w:val="001D0DAB"/>
    <w:rsid w:val="001D50E8"/>
    <w:rsid w:val="001D79A0"/>
    <w:rsid w:val="001E406C"/>
    <w:rsid w:val="001F1552"/>
    <w:rsid w:val="001F46F1"/>
    <w:rsid w:val="00204FE1"/>
    <w:rsid w:val="002061C9"/>
    <w:rsid w:val="00210F59"/>
    <w:rsid w:val="002226A0"/>
    <w:rsid w:val="0023179D"/>
    <w:rsid w:val="00234B4D"/>
    <w:rsid w:val="0023535F"/>
    <w:rsid w:val="00246478"/>
    <w:rsid w:val="00257906"/>
    <w:rsid w:val="00273EC3"/>
    <w:rsid w:val="00275E8F"/>
    <w:rsid w:val="00280599"/>
    <w:rsid w:val="00282C3C"/>
    <w:rsid w:val="00296823"/>
    <w:rsid w:val="002A6B68"/>
    <w:rsid w:val="002B60F5"/>
    <w:rsid w:val="002C413B"/>
    <w:rsid w:val="002D2636"/>
    <w:rsid w:val="002D3491"/>
    <w:rsid w:val="002E77A1"/>
    <w:rsid w:val="002F1036"/>
    <w:rsid w:val="00303AD9"/>
    <w:rsid w:val="003068E8"/>
    <w:rsid w:val="00306EEB"/>
    <w:rsid w:val="00317342"/>
    <w:rsid w:val="003216F2"/>
    <w:rsid w:val="0033125F"/>
    <w:rsid w:val="00341E10"/>
    <w:rsid w:val="0034368A"/>
    <w:rsid w:val="00350A93"/>
    <w:rsid w:val="00362684"/>
    <w:rsid w:val="00362D37"/>
    <w:rsid w:val="00366C1C"/>
    <w:rsid w:val="00371F0B"/>
    <w:rsid w:val="0038269C"/>
    <w:rsid w:val="00390B03"/>
    <w:rsid w:val="00390FC6"/>
    <w:rsid w:val="003B1B3C"/>
    <w:rsid w:val="003B7C42"/>
    <w:rsid w:val="003C641E"/>
    <w:rsid w:val="003D51A4"/>
    <w:rsid w:val="003E1937"/>
    <w:rsid w:val="003F350B"/>
    <w:rsid w:val="003F641E"/>
    <w:rsid w:val="003F76AC"/>
    <w:rsid w:val="004074D0"/>
    <w:rsid w:val="00414B1C"/>
    <w:rsid w:val="00420B19"/>
    <w:rsid w:val="00420E83"/>
    <w:rsid w:val="004304EE"/>
    <w:rsid w:val="00430AA0"/>
    <w:rsid w:val="00432F88"/>
    <w:rsid w:val="004334D5"/>
    <w:rsid w:val="0043364C"/>
    <w:rsid w:val="0043574A"/>
    <w:rsid w:val="00436F2D"/>
    <w:rsid w:val="00440560"/>
    <w:rsid w:val="004446C8"/>
    <w:rsid w:val="00444897"/>
    <w:rsid w:val="0045684C"/>
    <w:rsid w:val="00456B47"/>
    <w:rsid w:val="00466059"/>
    <w:rsid w:val="00473B02"/>
    <w:rsid w:val="00477F36"/>
    <w:rsid w:val="004817B9"/>
    <w:rsid w:val="004840BC"/>
    <w:rsid w:val="004971AB"/>
    <w:rsid w:val="004A3943"/>
    <w:rsid w:val="004A7898"/>
    <w:rsid w:val="004B24A5"/>
    <w:rsid w:val="004B4DE4"/>
    <w:rsid w:val="004B51AD"/>
    <w:rsid w:val="004B7B6A"/>
    <w:rsid w:val="004C1C5E"/>
    <w:rsid w:val="004C490F"/>
    <w:rsid w:val="004C65D6"/>
    <w:rsid w:val="004E5304"/>
    <w:rsid w:val="00512C8E"/>
    <w:rsid w:val="00524C24"/>
    <w:rsid w:val="00530BE0"/>
    <w:rsid w:val="00531467"/>
    <w:rsid w:val="00544221"/>
    <w:rsid w:val="00546B36"/>
    <w:rsid w:val="0054719F"/>
    <w:rsid w:val="00553236"/>
    <w:rsid w:val="005541A0"/>
    <w:rsid w:val="00555BD7"/>
    <w:rsid w:val="0056270D"/>
    <w:rsid w:val="00565D3E"/>
    <w:rsid w:val="00566AF4"/>
    <w:rsid w:val="0057161B"/>
    <w:rsid w:val="00573370"/>
    <w:rsid w:val="00573BA0"/>
    <w:rsid w:val="0057550B"/>
    <w:rsid w:val="00580CF8"/>
    <w:rsid w:val="00586514"/>
    <w:rsid w:val="00586DFB"/>
    <w:rsid w:val="005A0E76"/>
    <w:rsid w:val="005A69F7"/>
    <w:rsid w:val="005A74E6"/>
    <w:rsid w:val="005F418D"/>
    <w:rsid w:val="005F6170"/>
    <w:rsid w:val="005F6BC3"/>
    <w:rsid w:val="00604299"/>
    <w:rsid w:val="00614617"/>
    <w:rsid w:val="00626CF1"/>
    <w:rsid w:val="00633EEA"/>
    <w:rsid w:val="00635524"/>
    <w:rsid w:val="00656C71"/>
    <w:rsid w:val="00657157"/>
    <w:rsid w:val="00663486"/>
    <w:rsid w:val="00670349"/>
    <w:rsid w:val="00683C40"/>
    <w:rsid w:val="00690A0A"/>
    <w:rsid w:val="006A5970"/>
    <w:rsid w:val="006B2348"/>
    <w:rsid w:val="006B63D1"/>
    <w:rsid w:val="006E0587"/>
    <w:rsid w:val="006E0E51"/>
    <w:rsid w:val="006E39D9"/>
    <w:rsid w:val="006E7CC4"/>
    <w:rsid w:val="006F1CA8"/>
    <w:rsid w:val="006F4634"/>
    <w:rsid w:val="00724E19"/>
    <w:rsid w:val="00741FAF"/>
    <w:rsid w:val="00746A98"/>
    <w:rsid w:val="007519AE"/>
    <w:rsid w:val="00765CDB"/>
    <w:rsid w:val="007A0C9C"/>
    <w:rsid w:val="007B07C3"/>
    <w:rsid w:val="007B68FF"/>
    <w:rsid w:val="007C1508"/>
    <w:rsid w:val="007C4AE7"/>
    <w:rsid w:val="007D6531"/>
    <w:rsid w:val="007D76BB"/>
    <w:rsid w:val="007E62DF"/>
    <w:rsid w:val="007F59B0"/>
    <w:rsid w:val="007F5FCB"/>
    <w:rsid w:val="00802FA1"/>
    <w:rsid w:val="00811949"/>
    <w:rsid w:val="00815450"/>
    <w:rsid w:val="008331EF"/>
    <w:rsid w:val="0083587A"/>
    <w:rsid w:val="00841596"/>
    <w:rsid w:val="00841BC2"/>
    <w:rsid w:val="008449FA"/>
    <w:rsid w:val="00866C7C"/>
    <w:rsid w:val="008845ED"/>
    <w:rsid w:val="008901DA"/>
    <w:rsid w:val="008A67A2"/>
    <w:rsid w:val="008A72C1"/>
    <w:rsid w:val="008C78CA"/>
    <w:rsid w:val="008E318F"/>
    <w:rsid w:val="008E6470"/>
    <w:rsid w:val="008F102D"/>
    <w:rsid w:val="008F183A"/>
    <w:rsid w:val="008F45A4"/>
    <w:rsid w:val="009106AB"/>
    <w:rsid w:val="0092050C"/>
    <w:rsid w:val="009326AE"/>
    <w:rsid w:val="00934110"/>
    <w:rsid w:val="00940FFE"/>
    <w:rsid w:val="009426FF"/>
    <w:rsid w:val="00952290"/>
    <w:rsid w:val="0095614B"/>
    <w:rsid w:val="009627D2"/>
    <w:rsid w:val="0096352B"/>
    <w:rsid w:val="00973F20"/>
    <w:rsid w:val="00975E2A"/>
    <w:rsid w:val="00987B51"/>
    <w:rsid w:val="009901D6"/>
    <w:rsid w:val="00991AFE"/>
    <w:rsid w:val="00994B77"/>
    <w:rsid w:val="009972BC"/>
    <w:rsid w:val="009A4034"/>
    <w:rsid w:val="009B2D79"/>
    <w:rsid w:val="009C2015"/>
    <w:rsid w:val="009C347F"/>
    <w:rsid w:val="009C59FA"/>
    <w:rsid w:val="009C6B82"/>
    <w:rsid w:val="009C6CED"/>
    <w:rsid w:val="009C789A"/>
    <w:rsid w:val="009D4976"/>
    <w:rsid w:val="009D4CCC"/>
    <w:rsid w:val="009D6FDA"/>
    <w:rsid w:val="009D70DE"/>
    <w:rsid w:val="009D7A98"/>
    <w:rsid w:val="009F1124"/>
    <w:rsid w:val="009F4A4D"/>
    <w:rsid w:val="009F6CAA"/>
    <w:rsid w:val="00A0505D"/>
    <w:rsid w:val="00A0727A"/>
    <w:rsid w:val="00A07D10"/>
    <w:rsid w:val="00A11CAD"/>
    <w:rsid w:val="00A15081"/>
    <w:rsid w:val="00A2506F"/>
    <w:rsid w:val="00A34D19"/>
    <w:rsid w:val="00A50B7A"/>
    <w:rsid w:val="00A51780"/>
    <w:rsid w:val="00A573E5"/>
    <w:rsid w:val="00A626CB"/>
    <w:rsid w:val="00A64E8D"/>
    <w:rsid w:val="00A6686F"/>
    <w:rsid w:val="00A71675"/>
    <w:rsid w:val="00A73891"/>
    <w:rsid w:val="00AA0396"/>
    <w:rsid w:val="00AA786C"/>
    <w:rsid w:val="00AC1E54"/>
    <w:rsid w:val="00AD5F89"/>
    <w:rsid w:val="00AF3FC6"/>
    <w:rsid w:val="00B10242"/>
    <w:rsid w:val="00B15D36"/>
    <w:rsid w:val="00B1736A"/>
    <w:rsid w:val="00B21CAD"/>
    <w:rsid w:val="00B262C8"/>
    <w:rsid w:val="00B27BB6"/>
    <w:rsid w:val="00B31E9C"/>
    <w:rsid w:val="00B41A25"/>
    <w:rsid w:val="00B53F55"/>
    <w:rsid w:val="00B57E40"/>
    <w:rsid w:val="00B62576"/>
    <w:rsid w:val="00B931BF"/>
    <w:rsid w:val="00B96446"/>
    <w:rsid w:val="00BC5500"/>
    <w:rsid w:val="00BD3A9E"/>
    <w:rsid w:val="00BE6602"/>
    <w:rsid w:val="00BE7F5F"/>
    <w:rsid w:val="00C009F9"/>
    <w:rsid w:val="00C05781"/>
    <w:rsid w:val="00C07F13"/>
    <w:rsid w:val="00C33658"/>
    <w:rsid w:val="00C42610"/>
    <w:rsid w:val="00C52638"/>
    <w:rsid w:val="00C55B0B"/>
    <w:rsid w:val="00C55FF5"/>
    <w:rsid w:val="00C605B2"/>
    <w:rsid w:val="00C626E0"/>
    <w:rsid w:val="00C63CB2"/>
    <w:rsid w:val="00C83D37"/>
    <w:rsid w:val="00C90E3E"/>
    <w:rsid w:val="00C9513D"/>
    <w:rsid w:val="00CA5187"/>
    <w:rsid w:val="00CB69F7"/>
    <w:rsid w:val="00CD7BBF"/>
    <w:rsid w:val="00CE2219"/>
    <w:rsid w:val="00CE237F"/>
    <w:rsid w:val="00CE4945"/>
    <w:rsid w:val="00CF0CD0"/>
    <w:rsid w:val="00D13766"/>
    <w:rsid w:val="00D22C9A"/>
    <w:rsid w:val="00D25906"/>
    <w:rsid w:val="00D2689D"/>
    <w:rsid w:val="00D338BF"/>
    <w:rsid w:val="00D436D5"/>
    <w:rsid w:val="00D500D5"/>
    <w:rsid w:val="00D54327"/>
    <w:rsid w:val="00D75EA4"/>
    <w:rsid w:val="00D82093"/>
    <w:rsid w:val="00D82E50"/>
    <w:rsid w:val="00D92DC2"/>
    <w:rsid w:val="00D93211"/>
    <w:rsid w:val="00DA20BF"/>
    <w:rsid w:val="00DA2D5F"/>
    <w:rsid w:val="00DA7827"/>
    <w:rsid w:val="00DB02F9"/>
    <w:rsid w:val="00DB19F8"/>
    <w:rsid w:val="00DB6C3A"/>
    <w:rsid w:val="00DB7BB3"/>
    <w:rsid w:val="00DC0BDD"/>
    <w:rsid w:val="00DE2777"/>
    <w:rsid w:val="00DE4089"/>
    <w:rsid w:val="00DE7336"/>
    <w:rsid w:val="00DF7041"/>
    <w:rsid w:val="00DF7E94"/>
    <w:rsid w:val="00E00A07"/>
    <w:rsid w:val="00E0431B"/>
    <w:rsid w:val="00E22846"/>
    <w:rsid w:val="00E25603"/>
    <w:rsid w:val="00E274CD"/>
    <w:rsid w:val="00E37A35"/>
    <w:rsid w:val="00E423B1"/>
    <w:rsid w:val="00E510CF"/>
    <w:rsid w:val="00E6046F"/>
    <w:rsid w:val="00E63C64"/>
    <w:rsid w:val="00E64600"/>
    <w:rsid w:val="00E65B76"/>
    <w:rsid w:val="00E662F0"/>
    <w:rsid w:val="00E72709"/>
    <w:rsid w:val="00E769CA"/>
    <w:rsid w:val="00E775CA"/>
    <w:rsid w:val="00E7781E"/>
    <w:rsid w:val="00E80497"/>
    <w:rsid w:val="00ED4EF8"/>
    <w:rsid w:val="00EE43B7"/>
    <w:rsid w:val="00EE6718"/>
    <w:rsid w:val="00EE7BC9"/>
    <w:rsid w:val="00EF7B53"/>
    <w:rsid w:val="00EF7F2A"/>
    <w:rsid w:val="00F05187"/>
    <w:rsid w:val="00F14776"/>
    <w:rsid w:val="00F533AC"/>
    <w:rsid w:val="00F72B0F"/>
    <w:rsid w:val="00F87000"/>
    <w:rsid w:val="00FA69D6"/>
    <w:rsid w:val="00FD0AFF"/>
    <w:rsid w:val="00FD436E"/>
    <w:rsid w:val="00FD5B19"/>
    <w:rsid w:val="00FE0D3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DDF9AA-F36D-420D-A175-9E5C7B6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C1E54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AC1E5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AC1E54"/>
  </w:style>
  <w:style w:type="paragraph" w:styleId="a6">
    <w:name w:val="footer"/>
    <w:basedOn w:val="a"/>
    <w:rsid w:val="00AC1E5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21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21D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51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2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D0BD-9EB2-4F09-BE02-7F4E198A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2591</Words>
  <Characters>1501</Characters>
  <Application>Microsoft Office Word</Application>
  <DocSecurity>0</DocSecurity>
  <Lines>12</Lines>
  <Paragraphs>8</Paragraphs>
  <ScaleCrop>false</ScaleCrop>
  <Company>nsysu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akane</cp:lastModifiedBy>
  <cp:revision>2</cp:revision>
  <cp:lastPrinted>2016-12-02T01:03:00Z</cp:lastPrinted>
  <dcterms:created xsi:type="dcterms:W3CDTF">2020-05-06T04:09:00Z</dcterms:created>
  <dcterms:modified xsi:type="dcterms:W3CDTF">2020-05-06T04:09:00Z</dcterms:modified>
</cp:coreProperties>
</file>