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6723C0">
        <w:rPr>
          <w:rFonts w:eastAsia="標楷體" w:hAnsi="標楷體"/>
          <w:sz w:val="40"/>
          <w:szCs w:val="40"/>
        </w:rPr>
        <w:t>健行科技大學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E21F90" w:rsidRPr="006723C0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CB77DD">
        <w:rPr>
          <w:rFonts w:hint="eastAsia"/>
          <w:szCs w:val="28"/>
        </w:rPr>
        <w:t>4</w:t>
      </w:r>
      <w:r>
        <w:rPr>
          <w:rFonts w:hint="eastAsia"/>
          <w:szCs w:val="28"/>
        </w:rPr>
        <w:t>/105/106/107/108</w:t>
      </w:r>
      <w:r w:rsidR="00245B9B">
        <w:rPr>
          <w:rFonts w:hint="eastAsia"/>
          <w:szCs w:val="28"/>
        </w:rPr>
        <w:t>/109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r w:rsidR="00CB77DD" w:rsidRPr="00BF5A51">
        <w:rPr>
          <w:rFonts w:ascii="標楷體" w:eastAsia="標楷體" w:hAnsi="標楷體" w:hint="eastAsia"/>
        </w:rPr>
        <w:t>▉</w:t>
      </w:r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245B9B" w:rsidRPr="00BF5A51">
        <w:rPr>
          <w:rFonts w:ascii="標楷體" w:eastAsia="標楷體" w:hAnsi="標楷體" w:hint="eastAsia"/>
        </w:rPr>
        <w:t>▉</w:t>
      </w:r>
      <w:r w:rsidR="00245B9B">
        <w:rPr>
          <w:rFonts w:ascii="標楷體" w:eastAsia="標楷體" w:hAnsi="標楷體" w:hint="eastAsia"/>
          <w:szCs w:val="28"/>
        </w:rPr>
        <w:t>進二</w:t>
      </w:r>
      <w:r w:rsidR="00245B9B">
        <w:rPr>
          <w:rFonts w:ascii="標楷體" w:eastAsia="標楷體" w:hAnsi="標楷體"/>
          <w:szCs w:val="28"/>
        </w:rPr>
        <w:t>技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879"/>
        <w:gridCol w:w="1724"/>
        <w:gridCol w:w="826"/>
        <w:gridCol w:w="2269"/>
      </w:tblGrid>
      <w:tr w:rsidR="00563C60" w:rsidRPr="00A02CF7" w:rsidTr="00E67B56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異動科目</w:t>
            </w:r>
          </w:p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可用之抵免</w:t>
            </w:r>
          </w:p>
          <w:p w:rsidR="00335989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2269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CB77DD" w:rsidRPr="00A02CF7" w:rsidTr="00E67B56">
        <w:trPr>
          <w:trHeight w:val="620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104</w:t>
            </w:r>
          </w:p>
        </w:tc>
        <w:tc>
          <w:tcPr>
            <w:tcW w:w="2120" w:type="dxa"/>
          </w:tcPr>
          <w:p w:rsidR="00E67B56" w:rsidRPr="00A02CF7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CB77DD" w:rsidRPr="00A02CF7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CB77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104</w:t>
            </w:r>
          </w:p>
        </w:tc>
        <w:tc>
          <w:tcPr>
            <w:tcW w:w="2120" w:type="dxa"/>
          </w:tcPr>
          <w:p w:rsidR="00CB77DD" w:rsidRPr="00A02CF7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CB77DD" w:rsidRPr="00A02CF7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CB77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7AEF" w:rsidRPr="00A02CF7" w:rsidTr="00E67B56">
        <w:trPr>
          <w:trHeight w:val="653"/>
          <w:jc w:val="center"/>
        </w:trPr>
        <w:tc>
          <w:tcPr>
            <w:tcW w:w="734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  <w:tc>
          <w:tcPr>
            <w:tcW w:w="2120" w:type="dxa"/>
          </w:tcPr>
          <w:p w:rsidR="00E67B56" w:rsidRPr="00A02CF7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ED7AEF" w:rsidRPr="00A02CF7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A02CF7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A02CF7" w:rsidRDefault="00ED7AEF" w:rsidP="00ED7A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7AEF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  <w:tc>
          <w:tcPr>
            <w:tcW w:w="2120" w:type="dxa"/>
          </w:tcPr>
          <w:p w:rsidR="00ED7AEF" w:rsidRPr="00A02CF7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ED7AEF" w:rsidRPr="00A02CF7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A02CF7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A02CF7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640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EA75C4" w:rsidRPr="00A02CF7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CB77DD" w:rsidRPr="00A02CF7" w:rsidTr="00E67B56">
        <w:trPr>
          <w:trHeight w:val="867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EA75C4" w:rsidRPr="00A02CF7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停開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 □更名</w:t>
            </w:r>
          </w:p>
          <w:p w:rsidR="00CB77DD" w:rsidRPr="00A02CF7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簡報軟體應用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EA75C4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電腦軟體應用實務</w:t>
            </w:r>
          </w:p>
        </w:tc>
        <w:tc>
          <w:tcPr>
            <w:tcW w:w="826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EA75C4" w:rsidRPr="00A02CF7" w:rsidTr="00E67B56">
        <w:trPr>
          <w:trHeight w:val="745"/>
          <w:jc w:val="center"/>
        </w:trPr>
        <w:tc>
          <w:tcPr>
            <w:tcW w:w="734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EA75C4" w:rsidRPr="00A02CF7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EA75C4" w:rsidRPr="00A02CF7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79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26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EA75C4" w:rsidRPr="00A02CF7" w:rsidRDefault="00EA75C4" w:rsidP="00EA75C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3B5E79" w:rsidRPr="00A02CF7" w:rsidTr="00E67B56">
        <w:trPr>
          <w:trHeight w:val="862"/>
          <w:jc w:val="center"/>
        </w:trPr>
        <w:tc>
          <w:tcPr>
            <w:tcW w:w="734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3B5E79" w:rsidRPr="00A02CF7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3B5E79" w:rsidRPr="00A02CF7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專案管理概論</w:t>
            </w:r>
          </w:p>
        </w:tc>
        <w:tc>
          <w:tcPr>
            <w:tcW w:w="879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財務管理個案實務</w:t>
            </w:r>
          </w:p>
        </w:tc>
        <w:tc>
          <w:tcPr>
            <w:tcW w:w="826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3B5E79" w:rsidRPr="00A02CF7" w:rsidRDefault="003B5E79" w:rsidP="003B5E7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5B7898" w:rsidRPr="00A02CF7" w:rsidTr="00E67B56">
        <w:trPr>
          <w:trHeight w:val="724"/>
          <w:jc w:val="center"/>
        </w:trPr>
        <w:tc>
          <w:tcPr>
            <w:tcW w:w="734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行銷管理實務</w:t>
            </w:r>
          </w:p>
        </w:tc>
        <w:tc>
          <w:tcPr>
            <w:tcW w:w="87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行銷與企劃實務</w:t>
            </w:r>
          </w:p>
        </w:tc>
        <w:tc>
          <w:tcPr>
            <w:tcW w:w="826" w:type="dxa"/>
            <w:vMerge w:val="restart"/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5B7898" w:rsidRPr="00A02CF7" w:rsidTr="00E67B56">
        <w:trPr>
          <w:trHeight w:val="705"/>
          <w:jc w:val="center"/>
        </w:trPr>
        <w:tc>
          <w:tcPr>
            <w:tcW w:w="734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企劃案實務</w:t>
            </w:r>
          </w:p>
        </w:tc>
        <w:tc>
          <w:tcPr>
            <w:tcW w:w="87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5B7898" w:rsidRPr="00A02CF7" w:rsidTr="00E67B56">
        <w:trPr>
          <w:trHeight w:val="8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統計軟體應用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組織行為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組織行為與人力資源管理實務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5B7898" w:rsidRPr="00A02CF7" w:rsidTr="00E67B56">
        <w:trPr>
          <w:trHeight w:val="8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財務與投資分析實務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5B7898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7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就業服務管理實務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勞動法規與就業服務管理實務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3759FC" w:rsidRPr="00A02CF7" w:rsidTr="00E67B56">
        <w:trPr>
          <w:trHeight w:val="8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科技管理與創新實務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3759FC" w:rsidRPr="00A02CF7" w:rsidTr="00E67B56">
        <w:trPr>
          <w:trHeight w:val="8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研發管理實務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8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經濟學(一)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經濟學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會計實務(一)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會計實務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其他__改選修_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品質管理實務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品質管理實務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停開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 □更名</w:t>
            </w:r>
          </w:p>
          <w:p w:rsidR="003759FC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經濟學(二)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理財規劃實務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3759FC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會計實務(二)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財務管理個案實務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多修之2學分可抵免本系專業選修學分</w:t>
            </w:r>
          </w:p>
        </w:tc>
      </w:tr>
      <w:tr w:rsidR="006F2486" w:rsidRPr="00A02CF7" w:rsidTr="00E67B56">
        <w:trPr>
          <w:trHeight w:val="642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6F2486" w:rsidRPr="00A02CF7" w:rsidTr="00E67B56">
        <w:trPr>
          <w:trHeight w:val="836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數據分析實務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A02CF7" w:rsidRDefault="006F2486" w:rsidP="00814B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2486" w:rsidRPr="00A02CF7" w:rsidTr="00E67B56">
        <w:trPr>
          <w:trHeight w:val="691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消費者行為實務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6F2486" w:rsidRPr="00A02CF7" w:rsidTr="00E67B56">
        <w:trPr>
          <w:trHeight w:val="702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行動行銷與品牌社群經營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A02CF7" w:rsidRDefault="006F2486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709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r w:rsidR="006F2486"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79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6F2486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CB77DD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33BA1" w:rsidRPr="00A02CF7" w:rsidRDefault="00633BA1" w:rsidP="00633BA1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▉停開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□更名</w:t>
            </w:r>
          </w:p>
          <w:p w:rsidR="00CB77DD" w:rsidRPr="00A02CF7" w:rsidRDefault="00633BA1" w:rsidP="00633B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879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電子商務實務</w:t>
            </w:r>
          </w:p>
        </w:tc>
        <w:tc>
          <w:tcPr>
            <w:tcW w:w="826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633BA1" w:rsidP="00633BA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</w:tbl>
    <w:p w:rsidR="00CB77DD" w:rsidRPr="00183FEC" w:rsidRDefault="00CB77DD" w:rsidP="00CB77DD">
      <w:pPr>
        <w:rPr>
          <w:rFonts w:ascii="標楷體" w:eastAsia="標楷體" w:hAnsi="標楷體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CB77DD" w:rsidRPr="00A02CF7" w:rsidTr="00CB77DD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</w:t>
            </w:r>
            <w:r w:rsidRPr="00A02CF7">
              <w:rPr>
                <w:rFonts w:eastAsia="標楷體" w:hAnsi="標楷體"/>
                <w:sz w:val="20"/>
                <w:szCs w:val="20"/>
              </w:rPr>
              <w:t>科目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92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學分</w:t>
            </w:r>
            <w:r w:rsidRPr="00A02CF7">
              <w:rPr>
                <w:rFonts w:eastAsia="標楷體"/>
                <w:sz w:val="20"/>
                <w:szCs w:val="20"/>
              </w:rPr>
              <w:t>/</w:t>
            </w:r>
            <w:r w:rsidRPr="00A02CF7">
              <w:rPr>
                <w:rFonts w:eastAsia="標楷體" w:hAnsi="標楷體"/>
                <w:sz w:val="20"/>
                <w:szCs w:val="20"/>
              </w:rPr>
              <w:t>學時</w:t>
            </w:r>
          </w:p>
        </w:tc>
        <w:tc>
          <w:tcPr>
            <w:tcW w:w="16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可用之抵免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學分</w:t>
            </w:r>
            <w:r w:rsidRPr="00A02CF7">
              <w:rPr>
                <w:rFonts w:eastAsia="標楷體"/>
                <w:sz w:val="20"/>
                <w:szCs w:val="20"/>
              </w:rPr>
              <w:t>/</w:t>
            </w:r>
            <w:r w:rsidRPr="00A02CF7">
              <w:rPr>
                <w:rFonts w:eastAsia="標楷體" w:hAnsi="標楷體"/>
                <w:sz w:val="20"/>
                <w:szCs w:val="20"/>
              </w:rPr>
              <w:t>學時</w:t>
            </w:r>
          </w:p>
        </w:tc>
        <w:tc>
          <w:tcPr>
            <w:tcW w:w="2553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633BA1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33BA1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資訊</w:t>
            </w:r>
            <w:r w:rsidRPr="00A02CF7">
              <w:rPr>
                <w:rFonts w:eastAsia="標楷體"/>
                <w:sz w:val="20"/>
                <w:szCs w:val="20"/>
              </w:rPr>
              <w:t>與</w:t>
            </w:r>
            <w:r w:rsidRPr="00A02CF7">
              <w:rPr>
                <w:rFonts w:eastAsia="標楷體" w:hint="eastAsia"/>
                <w:sz w:val="20"/>
                <w:szCs w:val="20"/>
              </w:rPr>
              <w:t>電腦</w:t>
            </w:r>
            <w:r w:rsidRPr="00A02CF7">
              <w:rPr>
                <w:rFonts w:eastAsia="標楷體"/>
                <w:sz w:val="20"/>
                <w:szCs w:val="20"/>
              </w:rPr>
              <w:t>實務</w:t>
            </w:r>
          </w:p>
        </w:tc>
        <w:tc>
          <w:tcPr>
            <w:tcW w:w="92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資訊</w:t>
            </w:r>
            <w:r w:rsidRPr="00A02CF7">
              <w:rPr>
                <w:rFonts w:eastAsia="標楷體"/>
                <w:sz w:val="20"/>
                <w:szCs w:val="20"/>
              </w:rPr>
              <w:t>與</w:t>
            </w:r>
            <w:r w:rsidRPr="00A02CF7"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826" w:type="dxa"/>
            <w:vMerge w:val="restart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633BA1" w:rsidRPr="00A02CF7" w:rsidRDefault="00633BA1" w:rsidP="00633BA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633BA1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633BA1" w:rsidRPr="00A02CF7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92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3BA1" w:rsidRPr="00A02CF7" w:rsidRDefault="00633BA1" w:rsidP="00814B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▉更名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行動行銷與品牌社群經營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停開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其他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_</w:t>
            </w:r>
            <w:r w:rsidRPr="00A02CF7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統計實務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3/3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r w:rsidR="00041D86" w:rsidRPr="00A02C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學分可抵免本系專業選修學分</w:t>
            </w: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814B2A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停開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其他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_</w:t>
            </w:r>
            <w:r w:rsidRPr="00A02CF7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數據分析實務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3/3</w:t>
            </w:r>
          </w:p>
        </w:tc>
        <w:tc>
          <w:tcPr>
            <w:tcW w:w="1679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4E7768">
        <w:trPr>
          <w:trHeight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Default="00B1602C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B1602C" w:rsidRPr="00A02CF7" w:rsidRDefault="00B1602C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▉其他_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多修之2學分可抵免本系專業選修學分</w:t>
            </w:r>
          </w:p>
        </w:tc>
      </w:tr>
      <w:tr w:rsidR="00B1602C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A02CF7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▉停開  □更名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電子商務實務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勞動法規實務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60F6A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勞動法規與就業服務管理實務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F60F6A">
              <w:rPr>
                <w:rFonts w:ascii="標楷體" w:eastAsia="標楷體" w:hAnsi="標楷體" w:cs="Gungsuh"/>
                <w:color w:val="000000" w:themeColor="text1"/>
                <w:sz w:val="20"/>
                <w:szCs w:val="20"/>
              </w:rPr>
              <w:t>勞動法規與就業服務管理實務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得以抵免。</w:t>
            </w:r>
            <w:r w:rsidRPr="00CD44B2">
              <w:rPr>
                <w:rFonts w:eastAsia="標楷體"/>
                <w:sz w:val="20"/>
                <w:szCs w:val="20"/>
              </w:rPr>
              <w:t>多修之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CD44B2">
              <w:rPr>
                <w:rFonts w:eastAsia="標楷體"/>
                <w:sz w:val="20"/>
                <w:szCs w:val="20"/>
              </w:rPr>
              <w:t>學分可抵免本系專業選修學分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7615D3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3" w:rsidRPr="00A02CF7" w:rsidRDefault="007615D3" w:rsidP="007615D3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7615D3" w:rsidRPr="00A02CF7" w:rsidRDefault="007615D3" w:rsidP="007615D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D3" w:rsidRPr="00A02CF7" w:rsidRDefault="007615D3" w:rsidP="007615D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以本系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進</w:t>
            </w:r>
            <w:r w:rsidRPr="00CD44B2">
              <w:rPr>
                <w:rFonts w:eastAsia="標楷體"/>
                <w:color w:val="000000" w:themeColor="text1"/>
                <w:sz w:val="20"/>
                <w:szCs w:val="20"/>
              </w:rPr>
              <w:t>四技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</w:tbl>
    <w:p w:rsidR="004E7768" w:rsidRDefault="00CB77DD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  <w:r w:rsidR="004E7768">
        <w:rPr>
          <w:rFonts w:ascii="標楷體" w:eastAsia="標楷體" w:hAnsi="標楷體" w:hint="eastAsia"/>
          <w:sz w:val="18"/>
          <w:szCs w:val="18"/>
        </w:rPr>
        <w:t xml:space="preserve">   </w:t>
      </w:r>
    </w:p>
    <w:p w:rsidR="00534462" w:rsidRDefault="00335989" w:rsidP="00BE515A">
      <w:pPr>
        <w:rPr>
          <w:rFonts w:eastAsia="標楷體" w:hAnsi="標楷體"/>
          <w:sz w:val="28"/>
          <w:szCs w:val="28"/>
        </w:rPr>
      </w:pPr>
      <w:r w:rsidRPr="006723C0">
        <w:rPr>
          <w:rFonts w:eastAsia="標楷體" w:hAnsi="標楷體"/>
          <w:sz w:val="28"/>
          <w:szCs w:val="28"/>
        </w:rPr>
        <w:t>系所核章：</w:t>
      </w: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DC" w:rsidRDefault="009225DC" w:rsidP="00EE01EE">
      <w:r>
        <w:separator/>
      </w:r>
    </w:p>
  </w:endnote>
  <w:endnote w:type="continuationSeparator" w:id="0">
    <w:p w:rsidR="009225DC" w:rsidRDefault="009225DC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D3" w:rsidRPr="007615D3">
          <w:rPr>
            <w:noProof/>
            <w:lang w:val="zh-TW"/>
          </w:rPr>
          <w:t>1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DC" w:rsidRDefault="009225DC" w:rsidP="00EE01EE">
      <w:r>
        <w:separator/>
      </w:r>
    </w:p>
  </w:footnote>
  <w:footnote w:type="continuationSeparator" w:id="0">
    <w:p w:rsidR="009225DC" w:rsidRDefault="009225DC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41D86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5B9B"/>
    <w:rsid w:val="002463D8"/>
    <w:rsid w:val="002623CC"/>
    <w:rsid w:val="00262E6F"/>
    <w:rsid w:val="0026698C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3EA8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768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15D3"/>
    <w:rsid w:val="00762321"/>
    <w:rsid w:val="00771E9C"/>
    <w:rsid w:val="0077627D"/>
    <w:rsid w:val="007768EB"/>
    <w:rsid w:val="00783872"/>
    <w:rsid w:val="00784346"/>
    <w:rsid w:val="007878EF"/>
    <w:rsid w:val="0079180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91B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5DC"/>
    <w:rsid w:val="00922AA2"/>
    <w:rsid w:val="0093530B"/>
    <w:rsid w:val="0093691D"/>
    <w:rsid w:val="009421AD"/>
    <w:rsid w:val="009445D6"/>
    <w:rsid w:val="009539BC"/>
    <w:rsid w:val="009565E2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02CF7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4309C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D858-098C-4E29-AA76-B0F6177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Company>UCH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ASUS</cp:lastModifiedBy>
  <cp:revision>2</cp:revision>
  <cp:lastPrinted>2019-11-29T07:36:00Z</cp:lastPrinted>
  <dcterms:created xsi:type="dcterms:W3CDTF">2020-06-03T15:04:00Z</dcterms:created>
  <dcterms:modified xsi:type="dcterms:W3CDTF">2020-06-03T15:04:00Z</dcterms:modified>
</cp:coreProperties>
</file>